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DB" w:rsidRPr="00181A72" w:rsidRDefault="00BD0A27" w:rsidP="001C0BDB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GESTÃO DA QUALIDADE COMO VETOR DE INOVAÇÃO DOS PROCESSOS, PRODUTOS E NEGÓCIO DA CADEIA PRODUTIVA SUCROALCOOLEIRA E DE ALIMENTOS</w:t>
      </w:r>
    </w:p>
    <w:p w:rsidR="001C0BDB" w:rsidRPr="00181A72" w:rsidRDefault="001C0BDB" w:rsidP="001C0B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A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Mariana Moraes e Oliveira</w:t>
      </w:r>
      <w:r w:rsidRPr="00181A72">
        <w:rPr>
          <w:rStyle w:val="Footnoteanchor"/>
          <w:rFonts w:ascii="Times New Roman" w:hAnsi="Times New Roman" w:cs="Times New Roman"/>
          <w:sz w:val="24"/>
          <w:szCs w:val="24"/>
        </w:rPr>
        <w:footnoteReference w:id="2"/>
      </w:r>
    </w:p>
    <w:p w:rsidR="001C0BDB" w:rsidRPr="00181A72" w:rsidRDefault="001C0BDB" w:rsidP="001C0B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A72">
        <w:rPr>
          <w:rStyle w:val="nfase"/>
          <w:rFonts w:ascii="Times New Roman" w:hAnsi="Times New Roman" w:cs="Times New Roman"/>
          <w:sz w:val="24"/>
          <w:szCs w:val="24"/>
        </w:rPr>
        <w:t>Jailson</w:t>
      </w:r>
      <w:r w:rsidRPr="00181A72">
        <w:rPr>
          <w:rFonts w:ascii="Times New Roman" w:hAnsi="Times New Roman" w:cs="Times New Roman"/>
          <w:sz w:val="24"/>
          <w:szCs w:val="24"/>
        </w:rPr>
        <w:t xml:space="preserve"> Ribeiro de Oliveira²</w:t>
      </w:r>
    </w:p>
    <w:p w:rsidR="001C0BDB" w:rsidRPr="00181A72" w:rsidRDefault="001C0BDB" w:rsidP="001C0B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A72">
        <w:rPr>
          <w:rStyle w:val="nfase"/>
          <w:rFonts w:ascii="Times New Roman" w:hAnsi="Times New Roman" w:cs="Times New Roman"/>
          <w:sz w:val="24"/>
          <w:szCs w:val="24"/>
        </w:rPr>
        <w:t>Jailson</w:t>
      </w:r>
      <w:r w:rsidRPr="00181A72">
        <w:rPr>
          <w:rFonts w:ascii="Times New Roman" w:hAnsi="Times New Roman" w:cs="Times New Roman"/>
          <w:sz w:val="24"/>
          <w:szCs w:val="24"/>
        </w:rPr>
        <w:t xml:space="preserve"> Ribeiro de Oliveira</w:t>
      </w:r>
      <w:r w:rsidR="00A26334" w:rsidRPr="00181A72">
        <w:rPr>
          <w:rStyle w:val="Footnoteanchor"/>
          <w:rFonts w:ascii="Times New Roman" w:hAnsi="Times New Roman" w:cs="Times New Roman"/>
          <w:sz w:val="24"/>
          <w:szCs w:val="24"/>
        </w:rPr>
        <w:t>3</w:t>
      </w:r>
    </w:p>
    <w:p w:rsidR="001C0BDB" w:rsidRPr="00181A72" w:rsidRDefault="001C0BDB" w:rsidP="001C0B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A72">
        <w:rPr>
          <w:rFonts w:ascii="Times New Roman" w:hAnsi="Times New Roman" w:cs="Times New Roman"/>
          <w:sz w:val="24"/>
          <w:szCs w:val="24"/>
        </w:rPr>
        <w:t>Centro de Tecnologia - CT, Departamento de Engenharia de Produção - DEP</w:t>
      </w:r>
    </w:p>
    <w:p w:rsidR="001C0BDB" w:rsidRPr="00181A72" w:rsidRDefault="001C0BDB" w:rsidP="001C0B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A72">
        <w:rPr>
          <w:rFonts w:ascii="Times New Roman" w:hAnsi="Times New Roman" w:cs="Times New Roman"/>
          <w:sz w:val="24"/>
          <w:szCs w:val="24"/>
        </w:rPr>
        <w:t>Monitoria</w:t>
      </w:r>
    </w:p>
    <w:p w:rsidR="008861D5" w:rsidRPr="00181A72" w:rsidRDefault="008861D5" w:rsidP="00D66AB6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</w:p>
    <w:p w:rsidR="00D66AB6" w:rsidRPr="00181A72" w:rsidRDefault="00D66AB6" w:rsidP="00D66AB6">
      <w:pPr>
        <w:shd w:val="clear" w:color="auto" w:fill="FFFFFF"/>
        <w:spacing w:after="0" w:line="287" w:lineRule="atLeas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59B" w:rsidRPr="00181A72" w:rsidRDefault="004C059B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59B" w:rsidRPr="00181A72" w:rsidRDefault="004C059B" w:rsidP="001C0BDB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4C059B" w:rsidRPr="00181A72" w:rsidRDefault="004C059B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Gestão da Qualidade no atual mercado deixou de ser apenas uma ferramenta de grande utilidade na empresa para se tornar um item imprescindível para que uma empresa consiga se estabelecer e crescer no mercado.A partir das ferramentas da qualidade </w:t>
      </w:r>
      <w:r w:rsidRPr="00181A7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o tecnólogo(Tecnólogo de </w:t>
      </w:r>
      <w:r w:rsidR="00181A72" w:rsidRPr="00181A7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</w:t>
      </w:r>
      <w:r w:rsidRPr="00181A7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limentos e Sucroalcooleira) pode acompanhar os processos de produção industrial, a rotina de trabalho e a prestação de serviços em empresas de diversos setores, em busca de maior qualidade e produtividade para garantir que sejam desempenhados padrões estabelecidos de normalização e metrologia internacionais.</w:t>
      </w:r>
      <w:r w:rsidRPr="00181A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 </w:t>
      </w:r>
    </w:p>
    <w:p w:rsidR="004C059B" w:rsidRPr="00181A72" w:rsidRDefault="004C059B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59B" w:rsidRPr="00181A72" w:rsidRDefault="00D20CC5" w:rsidP="001C0BDB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:rsidR="000B2510" w:rsidRPr="00181A72" w:rsidRDefault="004B3983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turma </w:t>
      </w:r>
      <w:r w:rsidR="00744E0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Gestão da Qualidade </w:t>
      </w:r>
      <w:r w:rsidR="00A7392E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era composta de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0FF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41</w:t>
      </w:r>
      <w:r w:rsidR="0065326B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(quarenta e um)</w:t>
      </w:r>
      <w:r w:rsidR="00890FF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 de dois cursos</w:t>
      </w:r>
      <w:r w:rsidR="00744E0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Tecnologia de Alimentos e Tecnologia Sucroalcooleira </w:t>
      </w:r>
      <w:r w:rsidR="00A7392E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pertencentes ao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CTDR(Centro de Tecnologia e Desenvolvimento Regional)</w:t>
      </w:r>
      <w:r w:rsidR="00890FF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 em Mangabeira.</w:t>
      </w:r>
    </w:p>
    <w:p w:rsidR="005003B0" w:rsidRPr="00181A72" w:rsidRDefault="000B2510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principal objetivo </w:t>
      </w:r>
      <w:r w:rsidR="005003B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trabalho realizado pela monitoria foi alcançar algumas metas:</w:t>
      </w:r>
    </w:p>
    <w:p w:rsidR="00D66AB6" w:rsidRPr="00181A72" w:rsidRDefault="005003B0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Percentual de aprovação (desempenho) superior a 75%</w:t>
      </w:r>
    </w:p>
    <w:p w:rsidR="00A439CB" w:rsidRPr="00181A72" w:rsidRDefault="00A439CB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Obtenção de média mais baixa entre os alunos &gt;= a 6,0</w:t>
      </w:r>
    </w:p>
    <w:p w:rsidR="00A439CB" w:rsidRPr="00181A72" w:rsidRDefault="00A439CB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Estímulo ao alto desempenho, com nota média mais alta entre os alunos &gt;= a 9,0.</w:t>
      </w:r>
    </w:p>
    <w:p w:rsidR="005003B0" w:rsidRPr="00181A72" w:rsidRDefault="005003B0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Elaboração de material didático</w:t>
      </w:r>
    </w:p>
    <w:p w:rsidR="005003B0" w:rsidRPr="00181A72" w:rsidRDefault="005003B0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Produção científica de 2 artigos</w:t>
      </w:r>
    </w:p>
    <w:p w:rsidR="005003B0" w:rsidRPr="00181A72" w:rsidRDefault="005003B0" w:rsidP="00A24EF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>Realização de visita técnica</w:t>
      </w:r>
    </w:p>
    <w:p w:rsidR="00852F70" w:rsidRPr="00181A72" w:rsidRDefault="00852F70" w:rsidP="00A24EFE">
      <w:pPr>
        <w:pStyle w:val="PargrafodaLista"/>
        <w:shd w:val="clear" w:color="auto" w:fill="FFFFFF"/>
        <w:spacing w:after="0" w:line="360" w:lineRule="auto"/>
        <w:ind w:left="169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01A3" w:rsidRPr="00181A72" w:rsidRDefault="00E101A3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isso foram estabelecidas objetivos específicos com metas a serem alcançadas:</w:t>
      </w:r>
    </w:p>
    <w:p w:rsidR="00A439CB" w:rsidRPr="00181A72" w:rsidRDefault="00E101A3" w:rsidP="00A24EFE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Aumentar o desempenho dos alunos 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 xml:space="preserve">para que seja igual ou superior a </w:t>
      </w:r>
      <w:r w:rsidR="00A439CB" w:rsidRPr="00181A72">
        <w:rPr>
          <w:rFonts w:ascii="Times New Roman" w:eastAsia="Calibri" w:hAnsi="Times New Roman" w:cs="Times New Roman"/>
          <w:sz w:val="24"/>
          <w:szCs w:val="24"/>
        </w:rPr>
        <w:t>90</w:t>
      </w:r>
      <w:r w:rsidRPr="00181A72">
        <w:rPr>
          <w:rFonts w:ascii="Times New Roman" w:eastAsia="Calibri" w:hAnsi="Times New Roman" w:cs="Times New Roman"/>
          <w:sz w:val="24"/>
          <w:szCs w:val="24"/>
        </w:rPr>
        <w:t>%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 xml:space="preserve"> através  da inserção de metodologias construtivistas (casos e visitas técnicas)</w:t>
      </w:r>
    </w:p>
    <w:p w:rsidR="00E101A3" w:rsidRPr="00181A72" w:rsidRDefault="00E101A3" w:rsidP="00A24EFE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Aumentar a produção científica 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>para</w:t>
      </w: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 1 submissão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 xml:space="preserve"> através do incentivo da realização de projetos na disciplina</w:t>
      </w:r>
    </w:p>
    <w:p w:rsidR="00E101A3" w:rsidRPr="00181A72" w:rsidRDefault="00E101A3" w:rsidP="00A24EFE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Realização de 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 xml:space="preserve">pelo menos </w:t>
      </w:r>
      <w:r w:rsidRPr="00181A72">
        <w:rPr>
          <w:rFonts w:ascii="Times New Roman" w:eastAsia="Calibri" w:hAnsi="Times New Roman" w:cs="Times New Roman"/>
          <w:sz w:val="24"/>
          <w:szCs w:val="24"/>
        </w:rPr>
        <w:t>1 visita técnica</w:t>
      </w:r>
    </w:p>
    <w:p w:rsidR="00A7392E" w:rsidRPr="00181A72" w:rsidRDefault="00E101A3" w:rsidP="00A24EFE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Aplicação de 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 xml:space="preserve">pelo menos 2 </w:t>
      </w:r>
      <w:r w:rsidRPr="00181A72">
        <w:rPr>
          <w:rFonts w:ascii="Times New Roman" w:eastAsia="Calibri" w:hAnsi="Times New Roman" w:cs="Times New Roman"/>
          <w:sz w:val="24"/>
          <w:szCs w:val="24"/>
        </w:rPr>
        <w:t>estudo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>s</w:t>
      </w:r>
      <w:r w:rsidRPr="00181A72">
        <w:rPr>
          <w:rFonts w:ascii="Times New Roman" w:eastAsia="Calibri" w:hAnsi="Times New Roman" w:cs="Times New Roman"/>
          <w:sz w:val="24"/>
          <w:szCs w:val="24"/>
        </w:rPr>
        <w:t xml:space="preserve"> de caso</w:t>
      </w:r>
      <w:r w:rsidR="004535C7" w:rsidRPr="00181A72">
        <w:rPr>
          <w:rFonts w:ascii="Times New Roman" w:eastAsia="Calibri" w:hAnsi="Times New Roman" w:cs="Times New Roman"/>
          <w:sz w:val="24"/>
          <w:szCs w:val="24"/>
        </w:rPr>
        <w:t>s em gestão da qualidade e qualidade na agroindústria</w:t>
      </w:r>
    </w:p>
    <w:p w:rsidR="00A7392E" w:rsidRPr="00181A72" w:rsidRDefault="00A7392E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92E" w:rsidRPr="00181A72" w:rsidRDefault="00A7392E" w:rsidP="00181A7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</w:t>
      </w:r>
      <w:r w:rsidR="00D20C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ANÁ</w:t>
      </w:r>
      <w:r w:rsidR="00B873D5" w:rsidRPr="00181A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LISES</w:t>
      </w:r>
    </w:p>
    <w:p w:rsidR="00B873D5" w:rsidRPr="00181A72" w:rsidRDefault="00B873D5" w:rsidP="00A24EFE">
      <w:pPr>
        <w:pStyle w:val="PargrafodaLista"/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4AF3" w:rsidRPr="00181A72" w:rsidRDefault="00A7392E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fim do </w:t>
      </w:r>
      <w:r w:rsidR="00364AF3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verifica-se </w:t>
      </w:r>
      <w:r w:rsidR="00364AF3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níveis dos 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indicadores </w:t>
      </w:r>
      <w:r w:rsidR="00364AF3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percentual da aprovados po</w:t>
      </w:r>
      <w:r w:rsidR="00364AF3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r media, numero de desistentes,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numero </w:t>
      </w:r>
      <w:r w:rsidR="00364AF3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de alunos que necessitaram fazer a prova final, media da turma e a maior e menor media alcançada.</w:t>
      </w:r>
    </w:p>
    <w:p w:rsidR="00364AF3" w:rsidRPr="00181A72" w:rsidRDefault="00590099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276241" cy="2260120"/>
            <wp:effectExtent l="19050" t="0" r="19409" b="683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4AF3" w:rsidRPr="00181A72" w:rsidRDefault="00852F70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Gráfico</w:t>
      </w:r>
      <w:r w:rsidR="00590099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</w:p>
    <w:p w:rsidR="00590099" w:rsidRPr="00181A72" w:rsidRDefault="00590099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EC7" w:rsidRPr="00181A72" w:rsidRDefault="00590099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r w:rsidR="0063705F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gráfico apresentada acima demonstra que o índice de aprovados da turma inicial alcançou 46%, esse valor baixo explica-se devido ao alto numero de desistentes, aos quais nem chegaram a freqüentar as aulas e fazer as provas.Realizando uma nova conta levando em consideração os alunos realmente participaram da disciplina esse percentual sobe para </w:t>
      </w:r>
      <w:r w:rsidR="00360EC7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68% como mostra o gráfico abaixo.</w:t>
      </w:r>
    </w:p>
    <w:p w:rsidR="00410B99" w:rsidRPr="00181A72" w:rsidRDefault="00410B99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68E3" w:rsidRPr="00181A72" w:rsidRDefault="00360EC7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79162" cy="2035834"/>
            <wp:effectExtent l="19050" t="0" r="26238" b="2516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0EC7" w:rsidRPr="00181A72" w:rsidRDefault="00852F70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Gráfico</w:t>
      </w:r>
      <w:r w:rsidR="00360EC7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</w:p>
    <w:p w:rsidR="00360EC7" w:rsidRPr="00181A72" w:rsidRDefault="00360EC7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EC7" w:rsidRPr="00181A72" w:rsidRDefault="00360EC7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O calculo da média da turma, da maior e menor media da turma foi feita tendo como base apenas os alunos que participaram das aulas, ou seja, rejeitando os valores dos alunos desistentes.</w:t>
      </w:r>
    </w:p>
    <w:p w:rsidR="00590099" w:rsidRPr="00181A72" w:rsidRDefault="00360EC7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63705F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9354EE" w:rsidRPr="00181A7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2F70" w:rsidRPr="00181A72" w:rsidRDefault="00852F70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Gráfico 3</w:t>
      </w:r>
    </w:p>
    <w:p w:rsidR="0048525D" w:rsidRPr="00181A72" w:rsidRDefault="0001169F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Constatou-se </w:t>
      </w:r>
      <w:r w:rsidR="00852F7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então 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as metas relativas </w:t>
      </w:r>
      <w:r w:rsidR="0048525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as m</w:t>
      </w:r>
      <w:r w:rsidR="00852F7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48525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dias e notas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estabelecidas no plano de ação da disciplina não foram alcançadas</w:t>
      </w:r>
      <w:r w:rsidR="0048525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.Como demonstra os dados </w:t>
      </w:r>
      <w:r w:rsidR="00852F7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do gráfico 4</w:t>
      </w:r>
      <w:r w:rsidR="0048525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52F7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com relação as metas relativas a aplicação de estudos de caso e a elaboração de um material didático foi constatado que foram realizadas  aulas dinâmicas com um material de fácil entendimento, listas de exercício valendo pontuação , bônus por participação na aula,trabalhos de pesquisa, </w:t>
      </w:r>
      <w:r w:rsidR="00852F70" w:rsidRPr="00181A72">
        <w:rPr>
          <w:rFonts w:ascii="Times New Roman" w:eastAsia="Calibri" w:hAnsi="Times New Roman" w:cs="Times New Roman"/>
          <w:sz w:val="24"/>
          <w:szCs w:val="24"/>
        </w:rPr>
        <w:t>atividades em grupo com a aplicação de estudos de casos em gestão da qualidade e qualidade na agroindústria</w:t>
      </w:r>
      <w:r w:rsidR="00852F70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.Ao fim do período para quem realizou todas as atividades foram atribuídos pontos de participação na média.</w:t>
      </w:r>
    </w:p>
    <w:p w:rsidR="00410B99" w:rsidRPr="00181A72" w:rsidRDefault="00410B99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9A2" w:rsidRPr="00181A72" w:rsidRDefault="009354EE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1A72" w:rsidRPr="00181A72" w:rsidRDefault="00410B99" w:rsidP="00181A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Gráfico 4 </w:t>
      </w:r>
      <w:r w:rsidR="008A19A2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410B99" w:rsidRPr="00181A72" w:rsidRDefault="008A19A2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com relação as metas relativas a aplicação de estudos de caso e a elaboração de um material didático foi constatado que foram realizadas  aulas dinâmicas com um material de fácil entendimento, listas de exercício valendo pontuação , bônus por participação na aula,trabalhos de pesquisa, </w:t>
      </w:r>
      <w:r w:rsidRPr="00181A72">
        <w:rPr>
          <w:rFonts w:ascii="Times New Roman" w:eastAsia="Calibri" w:hAnsi="Times New Roman" w:cs="Times New Roman"/>
          <w:sz w:val="24"/>
          <w:szCs w:val="24"/>
        </w:rPr>
        <w:t>atividades em grupo com a aplicação de estudos de casos em gestão da qualidade e qualidade na agroindústria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.Ao fim do período para quem realizou todas as atividades foram atribuídos pontos de participação na média.</w:t>
      </w:r>
    </w:p>
    <w:p w:rsidR="00B17F4C" w:rsidRPr="00181A72" w:rsidRDefault="00B17F4C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6894" w:rsidRPr="00181A72" w:rsidRDefault="002E6894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Gráfico 5</w:t>
      </w:r>
    </w:p>
    <w:p w:rsidR="008A19A2" w:rsidRPr="00181A72" w:rsidRDefault="008A19A2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17F4C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As notas foram divididas em duas avaliações, AV1 e AV3, e o conjuntos de todas as atividades passadas e realizadas em sala de aula, incluindo também as participações e presença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correspondente a </w:t>
      </w:r>
      <w:r w:rsidR="003D7A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AV2</w:t>
      </w:r>
      <w:r w:rsidR="00B17F4C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Como se observa no gráfico acim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 que houve um crescimento da mé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dia bastante significativ</w:t>
      </w:r>
      <w:r w:rsidR="00B639D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alunos</w:t>
      </w:r>
      <w:r w:rsidR="00B17F4C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AV3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D7A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acontece devido a nova metodologia aplicada que procurou trabalhar de forma mais </w:t>
      </w:r>
      <w:r w:rsidR="003D7A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dinâmica, com trabalhos em grupo e estudos de caso.Essa nova metodologia foi aplicada após a AV1 afim de atender a reclamações dos alunos, já que apresentaram dificuldades no entendimento devido o assunto ser bastante teórico.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A19A2" w:rsidRPr="00181A72" w:rsidRDefault="008A19A2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9A2" w:rsidRPr="00181A72" w:rsidRDefault="008A19A2" w:rsidP="00A24E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As possíveis causas do não cumprimento das metas foram:</w:t>
      </w:r>
    </w:p>
    <w:p w:rsidR="008A19A2" w:rsidRPr="00181A72" w:rsidRDefault="008A19A2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Alto índice de alunos, </w:t>
      </w:r>
    </w:p>
    <w:p w:rsidR="008A19A2" w:rsidRPr="00181A72" w:rsidRDefault="008A19A2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Problemas como a falta de atenção dos alunos, </w:t>
      </w:r>
    </w:p>
    <w:p w:rsidR="008A19A2" w:rsidRPr="00181A72" w:rsidRDefault="00022DBD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Alto nú</w:t>
      </w:r>
      <w:r w:rsidR="008A19A2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mero de atrasos e faltas, </w:t>
      </w:r>
    </w:p>
    <w:p w:rsidR="008A19A2" w:rsidRPr="00181A72" w:rsidRDefault="008A19A2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Baixo índice de participação durante a aula  </w:t>
      </w:r>
    </w:p>
    <w:p w:rsidR="008A19A2" w:rsidRPr="00181A72" w:rsidRDefault="00B639DD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Baixo índice de trabalhos entregues </w:t>
      </w:r>
      <w:r w:rsidR="008A19A2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</w:p>
    <w:p w:rsidR="008A19A2" w:rsidRPr="00181A72" w:rsidRDefault="008A19A2" w:rsidP="00A24EFE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 escolar com três paradas</w:t>
      </w:r>
      <w:r w:rsidR="00022DB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(natal e</w:t>
      </w:r>
      <w:r w:rsidR="00B639D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,carnaval</w:t>
      </w:r>
      <w:r w:rsidR="00B639DD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páscoa)</w:t>
      </w: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feriados </w:t>
      </w:r>
    </w:p>
    <w:p w:rsidR="003D7AD5" w:rsidRPr="00181A72" w:rsidRDefault="003D7AD5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AD5" w:rsidRPr="00181A72" w:rsidRDefault="00181A72" w:rsidP="00181A72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B873D5" w:rsidRPr="00181A72" w:rsidRDefault="003D7AD5" w:rsidP="00181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Algumas sugestões que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poderiam aumentar os </w:t>
      </w:r>
      <w:r w:rsidR="00A24EFE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>índices</w:t>
      </w:r>
      <w:r w:rsidR="00B873D5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desempenho da disciplina são a realização do plano de atividades com antecedência para que seja apresentada aos alunos na primeira semana de aula, a aplicação das aulas dinâmicas com atividades em grupo desde o inicio do período(já que essa metodologia já apresentou bons resultados segundo a AV3), a realização de uma visita técnica para motivar os alunos a participar mais e </w:t>
      </w:r>
      <w:r w:rsidR="00A24EFE" w:rsidRPr="00181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incentivo as melhores notas através de premiações. </w:t>
      </w:r>
    </w:p>
    <w:p w:rsidR="00A24EFE" w:rsidRPr="00181A72" w:rsidRDefault="00A24EFE" w:rsidP="00A24EF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A72" w:rsidRPr="00181A72" w:rsidRDefault="00181A72" w:rsidP="00181A72">
      <w:pPr>
        <w:pStyle w:val="Ttulo3"/>
        <w:tabs>
          <w:tab w:val="left" w:pos="284"/>
        </w:tabs>
        <w:spacing w:before="0"/>
        <w:rPr>
          <w:rFonts w:ascii="Times New Roman" w:hAnsi="Times New Roman"/>
          <w:sz w:val="24"/>
          <w:szCs w:val="24"/>
        </w:rPr>
      </w:pPr>
      <w:r w:rsidRPr="00181A72">
        <w:rPr>
          <w:rFonts w:ascii="Times New Roman" w:hAnsi="Times New Roman"/>
          <w:sz w:val="24"/>
          <w:szCs w:val="24"/>
        </w:rPr>
        <w:t>REFERÊNCIAS</w:t>
      </w:r>
    </w:p>
    <w:p w:rsidR="00181A72" w:rsidRPr="00181A72" w:rsidRDefault="00181A72" w:rsidP="00181A7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81A72" w:rsidRPr="00181A72" w:rsidRDefault="00181A72" w:rsidP="00181A72">
      <w:pPr>
        <w:pStyle w:val="NormalWeb"/>
        <w:spacing w:before="0" w:beforeAutospacing="0" w:after="240" w:afterAutospacing="0"/>
        <w:jc w:val="both"/>
        <w:rPr>
          <w:sz w:val="24"/>
          <w:szCs w:val="24"/>
        </w:rPr>
      </w:pPr>
      <w:r w:rsidRPr="00181A72">
        <w:rPr>
          <w:sz w:val="24"/>
          <w:szCs w:val="24"/>
        </w:rPr>
        <w:t xml:space="preserve">MARANHÃO, Mauriti. </w:t>
      </w:r>
      <w:r w:rsidRPr="00181A72">
        <w:rPr>
          <w:b/>
          <w:sz w:val="24"/>
          <w:szCs w:val="24"/>
        </w:rPr>
        <w:t>ISO Série 9000 (versão 2000)</w:t>
      </w:r>
      <w:r w:rsidRPr="00181A72">
        <w:rPr>
          <w:sz w:val="24"/>
          <w:szCs w:val="24"/>
        </w:rPr>
        <w:t xml:space="preserve"> – Manual de Implementação: o passo a passo para solucionar o quebra-cabeça da gestão. 8. ed. Rio de Janeiro: Qualitymark, 2006.</w:t>
      </w:r>
    </w:p>
    <w:p w:rsidR="00181A72" w:rsidRPr="00181A72" w:rsidRDefault="00181A72" w:rsidP="00181A72">
      <w:pPr>
        <w:pStyle w:val="Recuodecorpodetexto"/>
        <w:spacing w:after="240"/>
        <w:ind w:left="0"/>
        <w:jc w:val="both"/>
        <w:rPr>
          <w:rFonts w:ascii="Times New Roman" w:hAnsi="Times New Roman"/>
          <w:sz w:val="24"/>
        </w:rPr>
      </w:pPr>
      <w:r w:rsidRPr="00181A72">
        <w:rPr>
          <w:rFonts w:ascii="Times New Roman" w:hAnsi="Times New Roman"/>
          <w:sz w:val="24"/>
        </w:rPr>
        <w:t xml:space="preserve">MUSCAT, Antônio; FLEURY, Afonso Indicadores de qualidade e produtividade na indústria brasileira. </w:t>
      </w:r>
      <w:r w:rsidRPr="00181A72">
        <w:rPr>
          <w:rFonts w:ascii="Times New Roman" w:hAnsi="Times New Roman"/>
          <w:b/>
          <w:bCs/>
          <w:sz w:val="24"/>
        </w:rPr>
        <w:t>Revista de Indicadores de Qualidade e Produtividade</w:t>
      </w:r>
      <w:r w:rsidRPr="00181A72">
        <w:rPr>
          <w:rFonts w:ascii="Times New Roman" w:hAnsi="Times New Roman"/>
          <w:sz w:val="24"/>
        </w:rPr>
        <w:t>., 1993, v. 1, n. 2.</w:t>
      </w:r>
    </w:p>
    <w:p w:rsidR="008861D5" w:rsidRPr="00181A72" w:rsidRDefault="00181A72" w:rsidP="00181A72">
      <w:pPr>
        <w:pStyle w:val="NormalWeb"/>
        <w:spacing w:before="0" w:beforeAutospacing="0" w:after="240" w:afterAutospacing="0"/>
        <w:jc w:val="both"/>
        <w:rPr>
          <w:sz w:val="24"/>
          <w:szCs w:val="24"/>
        </w:rPr>
      </w:pPr>
      <w:r w:rsidRPr="00181A72">
        <w:rPr>
          <w:sz w:val="24"/>
          <w:szCs w:val="24"/>
        </w:rPr>
        <w:t xml:space="preserve">PALADINI, Edson P. </w:t>
      </w:r>
      <w:r w:rsidRPr="00181A72">
        <w:rPr>
          <w:b/>
          <w:sz w:val="24"/>
          <w:szCs w:val="24"/>
        </w:rPr>
        <w:t>Gestão da Qualidade</w:t>
      </w:r>
      <w:r w:rsidRPr="00181A72">
        <w:rPr>
          <w:sz w:val="24"/>
          <w:szCs w:val="24"/>
        </w:rPr>
        <w:t xml:space="preserve"> – Teoria e Prática. 2. ed. São Paulo: Atlas, 2004.</w:t>
      </w:r>
      <w:r w:rsidR="00744E0D" w:rsidRPr="00181A72">
        <w:rPr>
          <w:sz w:val="24"/>
          <w:szCs w:val="24"/>
        </w:rPr>
        <w:tab/>
      </w:r>
    </w:p>
    <w:p w:rsidR="00462F76" w:rsidRPr="00181A72" w:rsidRDefault="00462F76" w:rsidP="00462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:rsidR="00744E0D" w:rsidRPr="00181A72" w:rsidRDefault="008861D5" w:rsidP="008861D5">
      <w:pPr>
        <w:shd w:val="clear" w:color="auto" w:fill="FFFFFF"/>
        <w:spacing w:after="0" w:line="287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181A7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  </w:t>
      </w:r>
    </w:p>
    <w:p w:rsidR="007877D7" w:rsidRPr="00181A72" w:rsidRDefault="007877D7">
      <w:pPr>
        <w:rPr>
          <w:rFonts w:ascii="Times New Roman" w:hAnsi="Times New Roman" w:cs="Times New Roman"/>
          <w:sz w:val="24"/>
          <w:szCs w:val="24"/>
        </w:rPr>
      </w:pPr>
    </w:p>
    <w:sectPr w:rsidR="007877D7" w:rsidRPr="00181A72" w:rsidSect="002E6894"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6A" w:rsidRDefault="00437D6A" w:rsidP="001C0BDB">
      <w:pPr>
        <w:spacing w:after="0" w:line="240" w:lineRule="auto"/>
      </w:pPr>
      <w:r>
        <w:separator/>
      </w:r>
    </w:p>
  </w:endnote>
  <w:endnote w:type="continuationSeparator" w:id="1">
    <w:p w:rsidR="00437D6A" w:rsidRDefault="00437D6A" w:rsidP="001C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6A" w:rsidRDefault="00437D6A" w:rsidP="001C0BDB">
      <w:pPr>
        <w:spacing w:after="0" w:line="240" w:lineRule="auto"/>
      </w:pPr>
      <w:r>
        <w:separator/>
      </w:r>
    </w:p>
  </w:footnote>
  <w:footnote w:type="continuationSeparator" w:id="1">
    <w:p w:rsidR="00437D6A" w:rsidRDefault="00437D6A" w:rsidP="001C0BDB">
      <w:pPr>
        <w:spacing w:after="0" w:line="240" w:lineRule="auto"/>
      </w:pPr>
      <w:r>
        <w:continuationSeparator/>
      </w:r>
    </w:p>
  </w:footnote>
  <w:footnote w:id="2">
    <w:p w:rsidR="00571D7E" w:rsidRPr="00904D2A" w:rsidRDefault="00571D7E" w:rsidP="00571D7E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Bolsista</w:t>
      </w:r>
      <w:r>
        <w:rPr>
          <w:lang w:val="pt-BR"/>
        </w:rPr>
        <w:tab/>
      </w:r>
    </w:p>
    <w:p w:rsidR="00571D7E" w:rsidRPr="00904D2A" w:rsidRDefault="00571D7E" w:rsidP="00571D7E">
      <w:pPr>
        <w:pStyle w:val="Footnote"/>
        <w:spacing w:after="0" w:line="240" w:lineRule="auto"/>
        <w:rPr>
          <w:lang w:val="pt-BR"/>
        </w:rPr>
      </w:pPr>
      <w:r>
        <w:rPr>
          <w:lang w:val="pt-BR"/>
        </w:rPr>
        <w:t>2</w:t>
      </w:r>
      <w:r>
        <w:rPr>
          <w:lang w:val="pt-BR"/>
        </w:rPr>
        <w:tab/>
        <w:t>Professor</w:t>
      </w:r>
      <w:r w:rsidRPr="00904D2A">
        <w:rPr>
          <w:lang w:val="pt-BR"/>
        </w:rPr>
        <w:t xml:space="preserve"> orientador</w:t>
      </w:r>
    </w:p>
    <w:p w:rsidR="001C0BDB" w:rsidRPr="00904D2A" w:rsidRDefault="00571D7E" w:rsidP="00571D7E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rPr>
          <w:lang w:val="pt-BR"/>
        </w:rPr>
        <w:t>3</w:t>
      </w:r>
      <w:r w:rsidRPr="00904D2A">
        <w:rPr>
          <w:lang w:val="pt-BR"/>
        </w:rPr>
        <w:tab/>
        <w:t>Coordenador do projeto de monitoria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FE2"/>
    <w:multiLevelType w:val="hybridMultilevel"/>
    <w:tmpl w:val="5B2078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876B25"/>
    <w:multiLevelType w:val="hybridMultilevel"/>
    <w:tmpl w:val="8F8EDD04"/>
    <w:lvl w:ilvl="0" w:tplc="0416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">
    <w:nsid w:val="3E8E1827"/>
    <w:multiLevelType w:val="hybridMultilevel"/>
    <w:tmpl w:val="0C1E1E66"/>
    <w:lvl w:ilvl="0" w:tplc="B5C0F3E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6A6B3D"/>
    <w:multiLevelType w:val="hybridMultilevel"/>
    <w:tmpl w:val="C59474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AB6"/>
    <w:rsid w:val="0001169F"/>
    <w:rsid w:val="00022DBD"/>
    <w:rsid w:val="00076CB8"/>
    <w:rsid w:val="00090940"/>
    <w:rsid w:val="000B2510"/>
    <w:rsid w:val="000C1179"/>
    <w:rsid w:val="000F695D"/>
    <w:rsid w:val="00143AD1"/>
    <w:rsid w:val="00181A72"/>
    <w:rsid w:val="001C0BDB"/>
    <w:rsid w:val="00264CB8"/>
    <w:rsid w:val="00286F35"/>
    <w:rsid w:val="002E6894"/>
    <w:rsid w:val="003145E7"/>
    <w:rsid w:val="00360EC7"/>
    <w:rsid w:val="00364AF3"/>
    <w:rsid w:val="003D00C8"/>
    <w:rsid w:val="003D7AD5"/>
    <w:rsid w:val="00410B99"/>
    <w:rsid w:val="00417BEB"/>
    <w:rsid w:val="00437D6A"/>
    <w:rsid w:val="004535C7"/>
    <w:rsid w:val="00462F76"/>
    <w:rsid w:val="0048525D"/>
    <w:rsid w:val="004B3983"/>
    <w:rsid w:val="004C059B"/>
    <w:rsid w:val="005003B0"/>
    <w:rsid w:val="00571D7E"/>
    <w:rsid w:val="00590099"/>
    <w:rsid w:val="0062257E"/>
    <w:rsid w:val="0063705F"/>
    <w:rsid w:val="0065326B"/>
    <w:rsid w:val="00744E0D"/>
    <w:rsid w:val="007877D7"/>
    <w:rsid w:val="00814C83"/>
    <w:rsid w:val="00852F70"/>
    <w:rsid w:val="008861D5"/>
    <w:rsid w:val="00890FFD"/>
    <w:rsid w:val="008A19A2"/>
    <w:rsid w:val="009354EE"/>
    <w:rsid w:val="00A24EFE"/>
    <w:rsid w:val="00A26334"/>
    <w:rsid w:val="00A26B77"/>
    <w:rsid w:val="00A439CB"/>
    <w:rsid w:val="00A7392E"/>
    <w:rsid w:val="00AA0B8A"/>
    <w:rsid w:val="00B17F4C"/>
    <w:rsid w:val="00B639DD"/>
    <w:rsid w:val="00B873D5"/>
    <w:rsid w:val="00BD0A27"/>
    <w:rsid w:val="00D068E3"/>
    <w:rsid w:val="00D20CC5"/>
    <w:rsid w:val="00D65F47"/>
    <w:rsid w:val="00D66AB6"/>
    <w:rsid w:val="00DE2C32"/>
    <w:rsid w:val="00E101A3"/>
    <w:rsid w:val="00F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D7"/>
  </w:style>
  <w:style w:type="paragraph" w:styleId="Ttulo3">
    <w:name w:val="heading 3"/>
    <w:basedOn w:val="Normal"/>
    <w:next w:val="Normal"/>
    <w:link w:val="Ttulo3Char"/>
    <w:semiHidden/>
    <w:unhideWhenUsed/>
    <w:qFormat/>
    <w:rsid w:val="00181A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3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AF3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1C0BDB"/>
    <w:rPr>
      <w:vertAlign w:val="superscript"/>
    </w:rPr>
  </w:style>
  <w:style w:type="character" w:styleId="nfase">
    <w:name w:val="Emphasis"/>
    <w:rsid w:val="001C0BDB"/>
    <w:rPr>
      <w:i/>
      <w:iCs/>
    </w:rPr>
  </w:style>
  <w:style w:type="paragraph" w:customStyle="1" w:styleId="Footnote">
    <w:name w:val="Footnote"/>
    <w:basedOn w:val="Normal"/>
    <w:rsid w:val="001C0BDB"/>
    <w:pPr>
      <w:widowControl w:val="0"/>
      <w:suppressLineNumbers/>
      <w:tabs>
        <w:tab w:val="left" w:pos="709"/>
      </w:tabs>
      <w:suppressAutoHyphens/>
      <w:ind w:left="283" w:hanging="283"/>
    </w:pPr>
    <w:rPr>
      <w:rFonts w:ascii="Times New Roman" w:eastAsia="DejaVu Sans" w:hAnsi="Times New Roman" w:cs="DejaVu Sans"/>
      <w:sz w:val="20"/>
      <w:szCs w:val="20"/>
      <w:lang w:val="en-US" w:eastAsia="zh-CN" w:bidi="hi-IN"/>
    </w:rPr>
  </w:style>
  <w:style w:type="character" w:customStyle="1" w:styleId="Ttulo3Char">
    <w:name w:val="Título 3 Char"/>
    <w:basedOn w:val="Fontepargpadro"/>
    <w:link w:val="Ttulo3"/>
    <w:semiHidden/>
    <w:rsid w:val="00181A7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181A72"/>
    <w:pPr>
      <w:spacing w:after="120" w:line="240" w:lineRule="auto"/>
      <w:ind w:left="283"/>
    </w:pPr>
    <w:rPr>
      <w:rFonts w:ascii="Segoe UI" w:eastAsia="Times New Roman" w:hAnsi="Segoe UI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81A72"/>
    <w:rPr>
      <w:rFonts w:ascii="Segoe UI" w:eastAsia="Times New Roman" w:hAnsi="Segoe UI" w:cs="Times New Roman"/>
      <w:szCs w:val="24"/>
      <w:lang w:eastAsia="pt-BR"/>
    </w:rPr>
  </w:style>
  <w:style w:type="paragraph" w:styleId="NormalWeb">
    <w:name w:val="Normal (Web)"/>
    <w:basedOn w:val="Normal"/>
    <w:rsid w:val="0018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Endnoteanchor">
    <w:name w:val="Endnote anchor"/>
    <w:rsid w:val="00571D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a\AppData\Local\Microsoft\Windows\Temporary%20Internet%20Files\Low\Content.IE5\IYP3D2YR\analise_das_notas_finais%5b1%5d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ana\AppData\Local\Microsoft\Windows\Temporary%20Internet%20Files\Low\Content.IE5\IYP3D2YR\analise_das_notas_finais%5b1%5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us%20documentos2\Downloads\Notas%20finais%202012_2_Gest&#227;o%20da%20Qualidade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us%20documentos2\Downloads\Notas%20finais%202012_2_Gest&#227;o%20da%20Qualidade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us%20documentos2\Downloads\Notas%20finais%202012_2_Gest&#227;o%20da%20Qualidade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Resultado final</a:t>
            </a:r>
          </a:p>
        </c:rich>
      </c:tx>
    </c:title>
    <c:plotArea>
      <c:layout>
        <c:manualLayout>
          <c:layoutTarget val="inner"/>
          <c:xMode val="edge"/>
          <c:yMode val="edge"/>
          <c:x val="4.3118012380652056E-2"/>
          <c:y val="0.23129479850627449"/>
          <c:w val="0.91424165682561265"/>
          <c:h val="0.69460692352618636"/>
        </c:manualLayout>
      </c:layout>
      <c:ofPieChart>
        <c:ofPieType val="bar"/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Plan2!$B$3:$B$5</c:f>
              <c:strCache>
                <c:ptCount val="3"/>
                <c:pt idx="0">
                  <c:v>Aprovados</c:v>
                </c:pt>
                <c:pt idx="1">
                  <c:v>desistentes</c:v>
                </c:pt>
                <c:pt idx="2">
                  <c:v>finais</c:v>
                </c:pt>
              </c:strCache>
            </c:strRef>
          </c:cat>
          <c:val>
            <c:numRef>
              <c:f>Plan2!$D$3:$D$5</c:f>
              <c:numCache>
                <c:formatCode>General</c:formatCode>
                <c:ptCount val="3"/>
                <c:pt idx="0">
                  <c:v>46.341463414633978</c:v>
                </c:pt>
                <c:pt idx="1">
                  <c:v>31.707317073170689</c:v>
                </c:pt>
                <c:pt idx="2">
                  <c:v>21.951219512195081</c:v>
                </c:pt>
              </c:numCache>
            </c:numRef>
          </c:val>
        </c:ser>
        <c:dLbls>
          <c:showCatName val="1"/>
          <c:showPercent val="1"/>
        </c:dLbls>
        <c:gapWidth val="100"/>
        <c:secondPieSize val="75"/>
        <c:serLines/>
      </c:of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dLbls>
            <c:showVal val="1"/>
          </c:dLbls>
          <c:val>
            <c:numRef>
              <c:f>Plan2!$C$8:$D$8</c:f>
              <c:numCache>
                <c:formatCode>General</c:formatCode>
                <c:ptCount val="2"/>
                <c:pt idx="0">
                  <c:v>19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Plan2!$C$9:$D$9</c:f>
              <c:numCache>
                <c:formatCode>General</c:formatCode>
                <c:ptCount val="2"/>
                <c:pt idx="0">
                  <c:v>67.857142857142819</c:v>
                </c:pt>
                <c:pt idx="1">
                  <c:v>32.142857142857153</c:v>
                </c:pt>
              </c:numCache>
            </c:numRef>
          </c:val>
        </c:ser>
        <c:shape val="box"/>
        <c:axId val="144447744"/>
        <c:axId val="144457728"/>
        <c:axId val="0"/>
      </c:bar3DChart>
      <c:catAx>
        <c:axId val="144447744"/>
        <c:scaling>
          <c:orientation val="minMax"/>
        </c:scaling>
        <c:axPos val="l"/>
        <c:tickLblPos val="nextTo"/>
        <c:crossAx val="144457728"/>
        <c:crosses val="autoZero"/>
        <c:auto val="1"/>
        <c:lblAlgn val="ctr"/>
        <c:lblOffset val="100"/>
      </c:catAx>
      <c:valAx>
        <c:axId val="144457728"/>
        <c:scaling>
          <c:orientation val="minMax"/>
        </c:scaling>
        <c:axPos val="b"/>
        <c:majorGridlines/>
        <c:numFmt formatCode="General" sourceLinked="1"/>
        <c:tickLblPos val="nextTo"/>
        <c:crossAx val="144447744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MÉDIAS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GQ!$R$32:$R$34</c:f>
              <c:strCache>
                <c:ptCount val="3"/>
                <c:pt idx="0">
                  <c:v>MÉDIA</c:v>
                </c:pt>
                <c:pt idx="1">
                  <c:v>MAIOR NOTA</c:v>
                </c:pt>
                <c:pt idx="2">
                  <c:v>MENOR NOTA</c:v>
                </c:pt>
              </c:strCache>
            </c:strRef>
          </c:cat>
          <c:val>
            <c:numRef>
              <c:f>GQ!$S$32:$S$34</c:f>
              <c:numCache>
                <c:formatCode>General</c:formatCode>
                <c:ptCount val="3"/>
                <c:pt idx="0">
                  <c:v>7.03</c:v>
                </c:pt>
                <c:pt idx="1">
                  <c:v>8.5</c:v>
                </c:pt>
                <c:pt idx="2">
                  <c:v>4.9000000000000004</c:v>
                </c:pt>
              </c:numCache>
            </c:numRef>
          </c:val>
        </c:ser>
        <c:shape val="cylinder"/>
        <c:axId val="128056704"/>
        <c:axId val="142300288"/>
        <c:axId val="0"/>
      </c:bar3DChart>
      <c:catAx>
        <c:axId val="128056704"/>
        <c:scaling>
          <c:orientation val="minMax"/>
        </c:scaling>
        <c:axPos val="l"/>
        <c:majorTickMark val="none"/>
        <c:tickLblPos val="nextTo"/>
        <c:crossAx val="142300288"/>
        <c:crosses val="autoZero"/>
        <c:auto val="1"/>
        <c:lblAlgn val="ctr"/>
        <c:lblOffset val="100"/>
      </c:catAx>
      <c:valAx>
        <c:axId val="14230028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280567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Expectativa x Desempenho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Expectativa</c:v>
          </c:tx>
          <c:dLbls>
            <c:showVal val="1"/>
          </c:dLbls>
          <c:cat>
            <c:strRef>
              <c:f>GQ!$R$32:$R$35</c:f>
              <c:strCache>
                <c:ptCount val="4"/>
                <c:pt idx="0">
                  <c:v>MÉDIA</c:v>
                </c:pt>
                <c:pt idx="1">
                  <c:v>MAIOR NOTA</c:v>
                </c:pt>
                <c:pt idx="2">
                  <c:v>MENOR NOTA</c:v>
                </c:pt>
                <c:pt idx="3">
                  <c:v>VISITAS TECNICAS</c:v>
                </c:pt>
              </c:strCache>
            </c:strRef>
          </c:cat>
          <c:val>
            <c:numRef>
              <c:f>GQ!$S$32:$S$35</c:f>
              <c:numCache>
                <c:formatCode>General</c:formatCode>
                <c:ptCount val="4"/>
                <c:pt idx="0">
                  <c:v>7.03</c:v>
                </c:pt>
                <c:pt idx="1">
                  <c:v>8.5</c:v>
                </c:pt>
                <c:pt idx="2">
                  <c:v>4.9000000000000004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Desempenho</c:v>
          </c:tx>
          <c:dLbls>
            <c:showVal val="1"/>
          </c:dLbls>
          <c:cat>
            <c:strRef>
              <c:f>GQ!$R$32:$R$35</c:f>
              <c:strCache>
                <c:ptCount val="4"/>
                <c:pt idx="0">
                  <c:v>MÉDIA</c:v>
                </c:pt>
                <c:pt idx="1">
                  <c:v>MAIOR NOTA</c:v>
                </c:pt>
                <c:pt idx="2">
                  <c:v>MENOR NOTA</c:v>
                </c:pt>
                <c:pt idx="3">
                  <c:v>VISITAS TECNICAS</c:v>
                </c:pt>
              </c:strCache>
            </c:strRef>
          </c:cat>
          <c:val>
            <c:numRef>
              <c:f>GQ!$T$32:$T$35</c:f>
              <c:numCache>
                <c:formatCode>General</c:formatCode>
                <c:ptCount val="4"/>
                <c:pt idx="0">
                  <c:v>7.5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hape val="cylinder"/>
        <c:axId val="144484608"/>
        <c:axId val="144494592"/>
        <c:axId val="0"/>
      </c:bar3DChart>
      <c:catAx>
        <c:axId val="144484608"/>
        <c:scaling>
          <c:orientation val="minMax"/>
        </c:scaling>
        <c:axPos val="l"/>
        <c:majorTickMark val="none"/>
        <c:tickLblPos val="nextTo"/>
        <c:crossAx val="144494592"/>
        <c:crosses val="autoZero"/>
        <c:auto val="1"/>
        <c:lblAlgn val="ctr"/>
        <c:lblOffset val="100"/>
      </c:catAx>
      <c:valAx>
        <c:axId val="1444945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448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MÉDIA</a:t>
            </a:r>
            <a:r>
              <a:rPr lang="pt-BR" baseline="0"/>
              <a:t> DAS AVALIAÇÕES</a:t>
            </a:r>
            <a:endParaRPr lang="pt-BR"/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777777777777812E-2"/>
                  <c:y val="-3.2407407407407406E-2"/>
                </c:manualLayout>
              </c:layout>
              <c:showVal val="1"/>
            </c:dLbl>
            <c:showVal val="1"/>
          </c:dLbls>
          <c:cat>
            <c:strRef>
              <c:f>Plan1!$J$24:$J$26</c:f>
              <c:strCache>
                <c:ptCount val="3"/>
                <c:pt idx="0">
                  <c:v>AV1</c:v>
                </c:pt>
                <c:pt idx="1">
                  <c:v>AV2</c:v>
                </c:pt>
                <c:pt idx="2">
                  <c:v>AV3</c:v>
                </c:pt>
              </c:strCache>
            </c:strRef>
          </c:cat>
          <c:val>
            <c:numRef>
              <c:f>Plan1!$K$24:$K$26</c:f>
              <c:numCache>
                <c:formatCode>General</c:formatCode>
                <c:ptCount val="3"/>
                <c:pt idx="0">
                  <c:v>6.88</c:v>
                </c:pt>
                <c:pt idx="1">
                  <c:v>6.84</c:v>
                </c:pt>
                <c:pt idx="2" formatCode="0.00">
                  <c:v>7.38</c:v>
                </c:pt>
              </c:numCache>
            </c:numRef>
          </c:val>
        </c:ser>
        <c:marker val="1"/>
        <c:axId val="144506240"/>
        <c:axId val="144311424"/>
      </c:lineChart>
      <c:catAx>
        <c:axId val="144506240"/>
        <c:scaling>
          <c:orientation val="minMax"/>
        </c:scaling>
        <c:axPos val="b"/>
        <c:majorTickMark val="none"/>
        <c:tickLblPos val="nextTo"/>
        <c:crossAx val="144311424"/>
        <c:crosses val="autoZero"/>
        <c:auto val="1"/>
        <c:lblAlgn val="ctr"/>
        <c:lblOffset val="100"/>
      </c:catAx>
      <c:valAx>
        <c:axId val="14431142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44506240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0.46667</cdr:x>
      <cdr:y>0.22569</cdr:y>
    </cdr:from>
    <cdr:to>
      <cdr:x>0.59369</cdr:x>
      <cdr:y>0.33574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395856" y="595479"/>
          <a:ext cx="652146" cy="2903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FINAIS </a:t>
          </a:r>
        </a:p>
      </cdr:txBody>
    </cdr:sp>
  </cdr:relSizeAnchor>
  <cdr:relSizeAnchor xmlns:cdr="http://schemas.openxmlformats.org/drawingml/2006/chartDrawing">
    <cdr:from>
      <cdr:x>0.79583</cdr:x>
      <cdr:y>0.57986</cdr:y>
    </cdr:from>
    <cdr:to>
      <cdr:x>1</cdr:x>
      <cdr:y>0.66667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3867150" y="1590675"/>
          <a:ext cx="933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APROVADOS</a:t>
          </a:r>
        </a:p>
      </cdr:txBody>
    </cdr:sp>
  </cdr:relSizeAnchor>
  <cdr:relSizeAnchor xmlns:cdr="http://schemas.openxmlformats.org/drawingml/2006/chartDrawing">
    <cdr:from>
      <cdr:x>0.12651</cdr:x>
      <cdr:y>0.10344</cdr:y>
    </cdr:from>
    <cdr:to>
      <cdr:x>0.19701</cdr:x>
      <cdr:y>0.18648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642584" y="210578"/>
          <a:ext cx="358081" cy="169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Nº</a:t>
          </a:r>
        </a:p>
      </cdr:txBody>
    </cdr:sp>
  </cdr:relSizeAnchor>
  <cdr:relSizeAnchor xmlns:cdr="http://schemas.openxmlformats.org/drawingml/2006/chartDrawing">
    <cdr:from>
      <cdr:x>0.17254</cdr:x>
      <cdr:y>0.06498</cdr:y>
    </cdr:from>
    <cdr:to>
      <cdr:x>0.26531</cdr:x>
      <cdr:y>0.19856</cdr:y>
    </cdr:to>
    <cdr:sp macro="" textlink="">
      <cdr:nvSpPr>
        <cdr:cNvPr id="5" name="CaixaDeTexto 4"/>
        <cdr:cNvSpPr txBox="1"/>
      </cdr:nvSpPr>
      <cdr:spPr>
        <a:xfrm xmlns:a="http://schemas.openxmlformats.org/drawingml/2006/main">
          <a:off x="885826" y="171450"/>
          <a:ext cx="4762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0.22078</cdr:x>
      <cdr:y>0.1083</cdr:y>
    </cdr:from>
    <cdr:to>
      <cdr:x>0.43043</cdr:x>
      <cdr:y>0.20217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1133476" y="285750"/>
          <a:ext cx="1076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Percentual</a:t>
          </a:r>
        </a:p>
      </cdr:txBody>
    </cdr:sp>
  </cdr:relSizeAnchor>
  <cdr:relSizeAnchor xmlns:cdr="http://schemas.openxmlformats.org/drawingml/2006/chartDrawing">
    <cdr:from>
      <cdr:x>0.14456</cdr:x>
      <cdr:y>0.41736</cdr:y>
    </cdr:from>
    <cdr:to>
      <cdr:x>0.25773</cdr:x>
      <cdr:y>0.52567</cdr:y>
    </cdr:to>
    <cdr:sp macro="" textlink="">
      <cdr:nvSpPr>
        <cdr:cNvPr id="7" name="CaixaDeTexto 6"/>
        <cdr:cNvSpPr txBox="1"/>
      </cdr:nvSpPr>
      <cdr:spPr>
        <a:xfrm xmlns:a="http://schemas.openxmlformats.org/drawingml/2006/main">
          <a:off x="734236" y="849679"/>
          <a:ext cx="574809" cy="2205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Nº</a:t>
          </a:r>
        </a:p>
      </cdr:txBody>
    </cdr:sp>
  </cdr:relSizeAnchor>
  <cdr:relSizeAnchor xmlns:cdr="http://schemas.openxmlformats.org/drawingml/2006/chartDrawing">
    <cdr:from>
      <cdr:x>0.4652</cdr:x>
      <cdr:y>0.41187</cdr:y>
    </cdr:from>
    <cdr:to>
      <cdr:x>0.65259</cdr:x>
      <cdr:y>0.4913</cdr:y>
    </cdr:to>
    <cdr:sp macro="" textlink="">
      <cdr:nvSpPr>
        <cdr:cNvPr id="8" name="CaixaDeTexto 7"/>
        <cdr:cNvSpPr txBox="1"/>
      </cdr:nvSpPr>
      <cdr:spPr>
        <a:xfrm xmlns:a="http://schemas.openxmlformats.org/drawingml/2006/main">
          <a:off x="2362851" y="838499"/>
          <a:ext cx="951784" cy="1617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Percentual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7EFF-7559-4798-879F-AF02A4A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Jailson Ribeiro</cp:lastModifiedBy>
  <cp:revision>10</cp:revision>
  <dcterms:created xsi:type="dcterms:W3CDTF">2013-04-17T16:14:00Z</dcterms:created>
  <dcterms:modified xsi:type="dcterms:W3CDTF">2013-11-25T13:45:00Z</dcterms:modified>
</cp:coreProperties>
</file>